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94EB3" w14:textId="476E94DF" w:rsidR="000C0ABD" w:rsidRPr="000C0ABD" w:rsidRDefault="000C0ABD" w:rsidP="000C0ABD">
      <w:pPr>
        <w:pStyle w:val="Titre2"/>
        <w:numPr>
          <w:ilvl w:val="0"/>
          <w:numId w:val="0"/>
        </w:numPr>
        <w:jc w:val="center"/>
      </w:pPr>
      <w:r w:rsidRPr="000C0ABD">
        <w:t xml:space="preserve">Projet SMART.MET : </w:t>
      </w:r>
      <w:r w:rsidR="006F140E">
        <w:t>Trois</w:t>
      </w:r>
      <w:r w:rsidRPr="000C0ABD">
        <w:t xml:space="preserve"> </w:t>
      </w:r>
      <w:r w:rsidR="006F140E">
        <w:t>entreprises</w:t>
      </w:r>
      <w:r w:rsidRPr="000C0ABD">
        <w:t xml:space="preserve"> ont été sélectionné</w:t>
      </w:r>
      <w:r w:rsidR="006F140E">
        <w:t>e</w:t>
      </w:r>
      <w:r w:rsidRPr="000C0ABD">
        <w:t>s pour participer à la phase d'essai de leurs solutions innovantes de comptage intelligent</w:t>
      </w:r>
    </w:p>
    <w:p w14:paraId="1A0B4C6C" w14:textId="77777777" w:rsidR="009E0421" w:rsidRDefault="009E0421" w:rsidP="00B22D53">
      <w:pPr>
        <w:rPr>
          <w:b/>
        </w:rPr>
      </w:pPr>
    </w:p>
    <w:p w14:paraId="404D5D53" w14:textId="70D808FC" w:rsidR="000C0ABD" w:rsidRPr="000C0ABD" w:rsidRDefault="000C0ABD" w:rsidP="00B22D53">
      <w:pPr>
        <w:rPr>
          <w:b/>
        </w:rPr>
      </w:pPr>
      <w:r w:rsidRPr="000C0ABD">
        <w:rPr>
          <w:b/>
        </w:rPr>
        <w:t xml:space="preserve">L'objectif du </w:t>
      </w:r>
      <w:hyperlink r:id="rId8" w:history="1">
        <w:r w:rsidRPr="006F140E">
          <w:t xml:space="preserve">projet </w:t>
        </w:r>
        <w:r w:rsidRPr="000C0ABD">
          <w:rPr>
            <w:rStyle w:val="Lienhypertexte"/>
            <w:b/>
          </w:rPr>
          <w:t>SMART.MET</w:t>
        </w:r>
      </w:hyperlink>
      <w:r w:rsidRPr="000C0ABD">
        <w:rPr>
          <w:b/>
        </w:rPr>
        <w:t xml:space="preserve">, </w:t>
      </w:r>
      <w:r w:rsidR="006F140E">
        <w:rPr>
          <w:b/>
        </w:rPr>
        <w:t>piloté</w:t>
      </w:r>
      <w:r w:rsidRPr="000C0ABD">
        <w:rPr>
          <w:b/>
        </w:rPr>
        <w:t xml:space="preserve"> par un groupe de 7 compagnies des eaux européennes, est de favoriser le développement de nouvelles technologies pour la collecte et la gestion des données</w:t>
      </w:r>
      <w:r w:rsidR="007A7DD9">
        <w:rPr>
          <w:b/>
        </w:rPr>
        <w:t xml:space="preserve"> des réseaux d’eau potable,</w:t>
      </w:r>
      <w:r w:rsidRPr="000C0ABD">
        <w:rPr>
          <w:b/>
        </w:rPr>
        <w:t xml:space="preserve"> </w:t>
      </w:r>
      <w:r>
        <w:rPr>
          <w:b/>
        </w:rPr>
        <w:t>via des</w:t>
      </w:r>
      <w:r w:rsidRPr="000C0ABD">
        <w:rPr>
          <w:b/>
        </w:rPr>
        <w:t xml:space="preserve"> compteurs </w:t>
      </w:r>
      <w:r w:rsidR="00495037">
        <w:rPr>
          <w:b/>
        </w:rPr>
        <w:t>d'eau communicants</w:t>
      </w:r>
      <w:r w:rsidRPr="000C0ABD">
        <w:rPr>
          <w:b/>
        </w:rPr>
        <w:t xml:space="preserve">, par le biais d'un </w:t>
      </w:r>
      <w:r w:rsidR="006F140E" w:rsidRPr="006F140E">
        <w:rPr>
          <w:b/>
          <w:u w:val="single"/>
        </w:rPr>
        <w:t>A</w:t>
      </w:r>
      <w:r w:rsidRPr="006F140E">
        <w:rPr>
          <w:b/>
          <w:u w:val="single"/>
        </w:rPr>
        <w:t xml:space="preserve">chat </w:t>
      </w:r>
      <w:r w:rsidR="006F140E" w:rsidRPr="006F140E">
        <w:rPr>
          <w:b/>
          <w:u w:val="single"/>
        </w:rPr>
        <w:t>P</w:t>
      </w:r>
      <w:r w:rsidRPr="006F140E">
        <w:rPr>
          <w:b/>
          <w:u w:val="single"/>
        </w:rPr>
        <w:t xml:space="preserve">ublic avant </w:t>
      </w:r>
      <w:r w:rsidR="006F140E" w:rsidRPr="006F140E">
        <w:rPr>
          <w:b/>
          <w:u w:val="single"/>
        </w:rPr>
        <w:t>C</w:t>
      </w:r>
      <w:r w:rsidRPr="006F140E">
        <w:rPr>
          <w:b/>
          <w:u w:val="single"/>
        </w:rPr>
        <w:t>ommercialisation</w:t>
      </w:r>
      <w:r w:rsidRPr="000C0ABD">
        <w:rPr>
          <w:b/>
        </w:rPr>
        <w:t xml:space="preserve"> (</w:t>
      </w:r>
      <w:r w:rsidR="00FC7796" w:rsidRPr="00FC7796">
        <w:rPr>
          <w:b/>
        </w:rPr>
        <w:t>APC</w:t>
      </w:r>
      <w:r w:rsidR="00FC7796">
        <w:rPr>
          <w:b/>
        </w:rPr>
        <w:t xml:space="preserve"> / PCP en anglais</w:t>
      </w:r>
      <w:r w:rsidRPr="000C0ABD">
        <w:rPr>
          <w:b/>
        </w:rPr>
        <w:t>) commun divisé en trois phases : La phase 1 se concentre sur l'exploration et la conception d'une solution (</w:t>
      </w:r>
      <w:r>
        <w:rPr>
          <w:b/>
        </w:rPr>
        <w:t>réalisée</w:t>
      </w:r>
      <w:r w:rsidRPr="000C0ABD">
        <w:rPr>
          <w:b/>
        </w:rPr>
        <w:t>), la phase 2, sur le développement d'un prototype opérationnel (</w:t>
      </w:r>
      <w:r>
        <w:rPr>
          <w:b/>
        </w:rPr>
        <w:t>réalisée</w:t>
      </w:r>
      <w:r w:rsidRPr="000C0ABD">
        <w:rPr>
          <w:b/>
        </w:rPr>
        <w:t xml:space="preserve">), et la phase 3 sur les </w:t>
      </w:r>
      <w:r>
        <w:rPr>
          <w:b/>
        </w:rPr>
        <w:t xml:space="preserve">tests </w:t>
      </w:r>
      <w:r w:rsidR="006F140E">
        <w:rPr>
          <w:b/>
        </w:rPr>
        <w:t xml:space="preserve">à grande échelle </w:t>
      </w:r>
      <w:r>
        <w:rPr>
          <w:b/>
        </w:rPr>
        <w:t>sur site</w:t>
      </w:r>
      <w:r w:rsidR="007A7DD9">
        <w:rPr>
          <w:b/>
        </w:rPr>
        <w:t>s</w:t>
      </w:r>
      <w:r w:rsidRPr="000C0ABD">
        <w:rPr>
          <w:b/>
        </w:rPr>
        <w:t>, qui commence maintenant.</w:t>
      </w:r>
    </w:p>
    <w:p w14:paraId="00437B80" w14:textId="3C8C551E" w:rsidR="000C0ABD" w:rsidRPr="000C0ABD" w:rsidRDefault="000C0ABD" w:rsidP="00B22D53">
      <w:r w:rsidRPr="000C0ABD">
        <w:t xml:space="preserve">Le </w:t>
      </w:r>
      <w:r w:rsidRPr="000C0ABD">
        <w:rPr>
          <w:b/>
        </w:rPr>
        <w:t>27 mars 2020</w:t>
      </w:r>
      <w:r w:rsidRPr="000C0ABD">
        <w:t>, le consortium SMART.MET a annoncé l</w:t>
      </w:r>
      <w:r>
        <w:t>e nom d</w:t>
      </w:r>
      <w:r w:rsidRPr="000C0ABD">
        <w:t xml:space="preserve">es </w:t>
      </w:r>
      <w:r w:rsidRPr="000C0ABD">
        <w:rPr>
          <w:b/>
        </w:rPr>
        <w:t>trois entreprises</w:t>
      </w:r>
      <w:r w:rsidRPr="000C0ABD">
        <w:t xml:space="preserve"> qui </w:t>
      </w:r>
      <w:r w:rsidR="006F140E">
        <w:t>ont</w:t>
      </w:r>
      <w:r w:rsidRPr="000C0ABD">
        <w:t xml:space="preserve"> achevé avec succès et de manière satisfaisante l'exécution de la phase 2 </w:t>
      </w:r>
      <w:r w:rsidRPr="000C0ABD">
        <w:rPr>
          <w:b/>
        </w:rPr>
        <w:t xml:space="preserve">et </w:t>
      </w:r>
      <w:r w:rsidR="006F140E">
        <w:rPr>
          <w:b/>
        </w:rPr>
        <w:t>sont</w:t>
      </w:r>
      <w:r w:rsidRPr="000C0ABD">
        <w:rPr>
          <w:b/>
        </w:rPr>
        <w:t xml:space="preserve"> donc éligibles pour participer à la phase 3</w:t>
      </w:r>
      <w:r w:rsidR="009B0A1C">
        <w:rPr>
          <w:b/>
        </w:rPr>
        <w:t>,</w:t>
      </w:r>
      <w:r w:rsidRPr="000C0ABD">
        <w:t xml:space="preserve"> phase de </w:t>
      </w:r>
      <w:r w:rsidRPr="009B0A1C">
        <w:rPr>
          <w:b/>
        </w:rPr>
        <w:t>"test"</w:t>
      </w:r>
      <w:r w:rsidRPr="000C0ABD">
        <w:t xml:space="preserve"> des solutions de </w:t>
      </w:r>
      <w:r w:rsidR="006F140E">
        <w:t>c</w:t>
      </w:r>
      <w:r w:rsidR="00495037">
        <w:t>ompteurs d'eau communicants</w:t>
      </w:r>
      <w:r w:rsidRPr="000C0ABD">
        <w:t>. Le consortium a lancé l'appel d'offres de la phase 3 le 10 juin 2020, avec un calendrier mis à jour et adapté au contexte COVID-19.</w:t>
      </w:r>
    </w:p>
    <w:p w14:paraId="78521BF4" w14:textId="77777777" w:rsidR="006F140E" w:rsidRDefault="009B0A1C" w:rsidP="00B22D53">
      <w:r w:rsidRPr="009B0A1C">
        <w:t xml:space="preserve">Après </w:t>
      </w:r>
      <w:hyperlink r:id="rId9" w:history="1">
        <w:r w:rsidRPr="009B0A1C">
          <w:rPr>
            <w:rStyle w:val="Lienhypertexte"/>
          </w:rPr>
          <w:t>l'achèvement des phases 1 et 2</w:t>
        </w:r>
      </w:hyperlink>
      <w:r w:rsidR="006F140E">
        <w:t xml:space="preserve"> - qui impliquaie</w:t>
      </w:r>
      <w:r w:rsidRPr="009B0A1C">
        <w:t xml:space="preserve">nt la présentation d'une </w:t>
      </w:r>
      <w:r>
        <w:rPr>
          <w:rFonts w:ascii="Arial" w:hAnsi="Arial" w:cs="Arial"/>
          <w:color w:val="333333"/>
          <w:sz w:val="21"/>
          <w:szCs w:val="21"/>
          <w:shd w:val="clear" w:color="auto" w:fill="FFFFFF"/>
        </w:rPr>
        <w:t xml:space="preserve">démonstration de faisabilité </w:t>
      </w:r>
      <w:r w:rsidRPr="009B0A1C">
        <w:t xml:space="preserve">et le développement d'un </w:t>
      </w:r>
      <w:r w:rsidRPr="006F140E">
        <w:rPr>
          <w:b/>
        </w:rPr>
        <w:t>prototype</w:t>
      </w:r>
      <w:r w:rsidRPr="009B0A1C">
        <w:t xml:space="preserve"> - trois des quatre contractants initiaux ont réussi à démontrer </w:t>
      </w:r>
      <w:r w:rsidRPr="00495037">
        <w:rPr>
          <w:b/>
        </w:rPr>
        <w:t>la fonctionnalité de leurs solutions technologiques innovantes pour le comptage intelligent de l'eau, ainsi que la validité des prototypes dans toutes leurs composantes : compteur, infrastructure de communication et systèmes de contrôle.</w:t>
      </w:r>
      <w:r w:rsidRPr="009B0A1C">
        <w:t xml:space="preserve"> </w:t>
      </w:r>
    </w:p>
    <w:p w14:paraId="35FFC391" w14:textId="010763E5" w:rsidR="009B0A1C" w:rsidRPr="009B0A1C" w:rsidRDefault="009B0A1C" w:rsidP="00B22D53">
      <w:r w:rsidRPr="009B0A1C">
        <w:t xml:space="preserve">Les trois </w:t>
      </w:r>
      <w:r w:rsidR="00495037">
        <w:t>sociétés</w:t>
      </w:r>
      <w:r w:rsidRPr="009B0A1C">
        <w:t xml:space="preserve"> invité</w:t>
      </w:r>
      <w:r w:rsidR="00495037">
        <w:t>e</w:t>
      </w:r>
      <w:r w:rsidRPr="009B0A1C">
        <w:t>s à soumissionner sont :</w:t>
      </w:r>
    </w:p>
    <w:p w14:paraId="1BBB7FAB" w14:textId="0C4422B0" w:rsidR="00B22D53" w:rsidRPr="009B0A1C" w:rsidRDefault="00B22D53" w:rsidP="009B0A1C">
      <w:pPr>
        <w:pStyle w:val="Paragraphedeliste"/>
        <w:numPr>
          <w:ilvl w:val="0"/>
          <w:numId w:val="2"/>
        </w:numPr>
        <w:spacing w:before="240" w:after="240"/>
        <w:rPr>
          <w:lang w:val="en-US"/>
        </w:rPr>
      </w:pPr>
      <w:r w:rsidRPr="009B0A1C">
        <w:rPr>
          <w:b/>
          <w:lang w:val="en-US"/>
        </w:rPr>
        <w:t xml:space="preserve">Dynamic Consulting, </w:t>
      </w:r>
      <w:proofErr w:type="spellStart"/>
      <w:r w:rsidRPr="009B0A1C">
        <w:rPr>
          <w:b/>
          <w:lang w:val="en-US"/>
        </w:rPr>
        <w:t>Abering</w:t>
      </w:r>
      <w:proofErr w:type="spellEnd"/>
      <w:r w:rsidRPr="009B0A1C">
        <w:rPr>
          <w:b/>
          <w:lang w:val="en-US"/>
        </w:rPr>
        <w:t xml:space="preserve"> </w:t>
      </w:r>
      <w:proofErr w:type="spellStart"/>
      <w:r w:rsidRPr="009B0A1C">
        <w:rPr>
          <w:b/>
          <w:lang w:val="en-US"/>
        </w:rPr>
        <w:t>Contadores</w:t>
      </w:r>
      <w:proofErr w:type="spellEnd"/>
      <w:r w:rsidRPr="009B0A1C">
        <w:rPr>
          <w:b/>
          <w:lang w:val="en-US"/>
        </w:rPr>
        <w:t xml:space="preserve"> de Agua, Gomez Group Metering</w:t>
      </w:r>
      <w:r w:rsidRPr="009B0A1C">
        <w:rPr>
          <w:lang w:val="en-US"/>
        </w:rPr>
        <w:t xml:space="preserve"> (</w:t>
      </w:r>
      <w:proofErr w:type="spellStart"/>
      <w:r w:rsidR="009B0A1C" w:rsidRPr="009B0A1C">
        <w:rPr>
          <w:lang w:val="en-US"/>
        </w:rPr>
        <w:t>Espagne</w:t>
      </w:r>
      <w:proofErr w:type="spellEnd"/>
      <w:r w:rsidRPr="009B0A1C">
        <w:rPr>
          <w:lang w:val="en-US"/>
        </w:rPr>
        <w:t xml:space="preserve">) </w:t>
      </w:r>
    </w:p>
    <w:p w14:paraId="031D8DE7" w14:textId="3177782C" w:rsidR="00B22D53" w:rsidRPr="009B0A1C" w:rsidRDefault="00B22D53" w:rsidP="00572C3A">
      <w:pPr>
        <w:pStyle w:val="Paragraphedeliste"/>
        <w:numPr>
          <w:ilvl w:val="0"/>
          <w:numId w:val="2"/>
        </w:numPr>
        <w:spacing w:before="0" w:after="0"/>
        <w:rPr>
          <w:lang w:val="en-US"/>
        </w:rPr>
      </w:pPr>
      <w:proofErr w:type="spellStart"/>
      <w:r w:rsidRPr="009B0A1C">
        <w:rPr>
          <w:b/>
          <w:lang w:val="en-US"/>
        </w:rPr>
        <w:t>Hydroko</w:t>
      </w:r>
      <w:proofErr w:type="spellEnd"/>
      <w:r w:rsidRPr="009B0A1C">
        <w:rPr>
          <w:b/>
          <w:lang w:val="en-US"/>
        </w:rPr>
        <w:t>, Ng</w:t>
      </w:r>
      <w:r w:rsidRPr="009B0A1C">
        <w:rPr>
          <w:lang w:val="en-US"/>
        </w:rPr>
        <w:t xml:space="preserve"> (</w:t>
      </w:r>
      <w:proofErr w:type="spellStart"/>
      <w:r w:rsidR="009B0A1C" w:rsidRPr="009B0A1C">
        <w:rPr>
          <w:lang w:val="en-US"/>
        </w:rPr>
        <w:t>Belgique</w:t>
      </w:r>
      <w:proofErr w:type="spellEnd"/>
      <w:r w:rsidR="009B0A1C">
        <w:rPr>
          <w:lang w:val="en-US"/>
        </w:rPr>
        <w:t>)</w:t>
      </w:r>
    </w:p>
    <w:p w14:paraId="1FD99509" w14:textId="5E3C2ADC" w:rsidR="00B22D53" w:rsidRPr="00B64352" w:rsidRDefault="00B22D53" w:rsidP="009B0A1C">
      <w:pPr>
        <w:numPr>
          <w:ilvl w:val="0"/>
          <w:numId w:val="2"/>
        </w:numPr>
        <w:spacing w:before="0" w:after="0"/>
        <w:rPr>
          <w:lang w:val="en-US"/>
        </w:rPr>
      </w:pPr>
      <w:proofErr w:type="spellStart"/>
      <w:r w:rsidRPr="002E710B">
        <w:rPr>
          <w:b/>
          <w:lang w:val="en-US"/>
        </w:rPr>
        <w:t>Telereading</w:t>
      </w:r>
      <w:proofErr w:type="spellEnd"/>
      <w:r w:rsidRPr="002E710B">
        <w:rPr>
          <w:lang w:val="en-US"/>
        </w:rPr>
        <w:t xml:space="preserve"> (</w:t>
      </w:r>
      <w:proofErr w:type="spellStart"/>
      <w:r w:rsidR="009B0A1C" w:rsidRPr="009B0A1C">
        <w:rPr>
          <w:lang w:val="en-US"/>
        </w:rPr>
        <w:t>Italie</w:t>
      </w:r>
      <w:proofErr w:type="spellEnd"/>
      <w:r w:rsidRPr="002E710B">
        <w:rPr>
          <w:lang w:val="en-US"/>
        </w:rPr>
        <w:t>)</w:t>
      </w:r>
    </w:p>
    <w:p w14:paraId="79374400" w14:textId="77777777" w:rsidR="00B22D53" w:rsidRDefault="00B22D53" w:rsidP="00B22D53">
      <w:pPr>
        <w:spacing w:before="0" w:after="0"/>
        <w:rPr>
          <w:lang w:val="en-US"/>
        </w:rPr>
      </w:pPr>
    </w:p>
    <w:p w14:paraId="51F62A4F" w14:textId="379DB7D7" w:rsidR="00495037" w:rsidRPr="00F34D8A" w:rsidRDefault="006F140E" w:rsidP="00F34D8A">
      <w:pPr>
        <w:spacing w:before="0" w:after="0"/>
        <w:rPr>
          <w:b/>
        </w:rPr>
      </w:pPr>
      <w:r w:rsidRPr="006F140E">
        <w:t>C</w:t>
      </w:r>
      <w:r w:rsidR="00495037">
        <w:t xml:space="preserve">es sociétés </w:t>
      </w:r>
      <w:r w:rsidR="00495037" w:rsidRPr="00495037">
        <w:rPr>
          <w:b/>
        </w:rPr>
        <w:t>ont proposé d'importantes innova</w:t>
      </w:r>
      <w:r>
        <w:rPr>
          <w:b/>
        </w:rPr>
        <w:t>tions</w:t>
      </w:r>
      <w:r w:rsidR="00495037" w:rsidRPr="00495037">
        <w:rPr>
          <w:b/>
        </w:rPr>
        <w:t xml:space="preserve"> de </w:t>
      </w:r>
      <w:r w:rsidR="00F34D8A">
        <w:rPr>
          <w:b/>
        </w:rPr>
        <w:t>c</w:t>
      </w:r>
      <w:r w:rsidR="00F34D8A" w:rsidRPr="00F34D8A">
        <w:rPr>
          <w:b/>
        </w:rPr>
        <w:t>ompteurs d'eau communican</w:t>
      </w:r>
      <w:r w:rsidR="00F34D8A">
        <w:rPr>
          <w:b/>
        </w:rPr>
        <w:t>ts</w:t>
      </w:r>
      <w:r>
        <w:rPr>
          <w:b/>
        </w:rPr>
        <w:t>,</w:t>
      </w:r>
      <w:r w:rsidR="00F34D8A">
        <w:rPr>
          <w:b/>
        </w:rPr>
        <w:t xml:space="preserve"> </w:t>
      </w:r>
      <w:r w:rsidR="00495037" w:rsidRPr="00495037">
        <w:rPr>
          <w:b/>
        </w:rPr>
        <w:t>basées sur de nouveaux systèmes connectés</w:t>
      </w:r>
      <w:r w:rsidR="00495037" w:rsidRPr="00495037">
        <w:t>. Selon les solutions proposées, les compagnies des eaux devraient pouvoir obtenir des données de comptage précises en temps réel, ce qui permettra d'améliorer la gestion du réseau en ce qui concerne la détection des fuites, l'optimisation de la quantité d'eau fournie et l'amélioration d</w:t>
      </w:r>
      <w:r>
        <w:t>u</w:t>
      </w:r>
      <w:r w:rsidR="00495037" w:rsidRPr="00495037">
        <w:t xml:space="preserve"> service à la clientèle. Les </w:t>
      </w:r>
      <w:r w:rsidR="00495037">
        <w:t>sociétés</w:t>
      </w:r>
      <w:r w:rsidR="00495037" w:rsidRPr="00495037">
        <w:t xml:space="preserve"> ont accordé une attention particulière à la sécurité des données en proposant d'intégrer des </w:t>
      </w:r>
      <w:r>
        <w:t>dispositifs</w:t>
      </w:r>
      <w:r w:rsidR="00495037" w:rsidRPr="00495037">
        <w:t xml:space="preserve"> de </w:t>
      </w:r>
      <w:proofErr w:type="spellStart"/>
      <w:r w:rsidR="00495037" w:rsidRPr="00495037">
        <w:t>cybersécurité</w:t>
      </w:r>
      <w:proofErr w:type="spellEnd"/>
      <w:r w:rsidR="00495037" w:rsidRPr="00495037">
        <w:t xml:space="preserve"> et de cryptage dans </w:t>
      </w:r>
      <w:r>
        <w:t>la</w:t>
      </w:r>
      <w:r w:rsidR="00495037" w:rsidRPr="00495037">
        <w:t xml:space="preserve"> transmission des données des compteurs. Cela permettra de garantir que l'accès aux données collectées soit strictement limité et protégé.</w:t>
      </w:r>
    </w:p>
    <w:p w14:paraId="5663DBFD" w14:textId="77777777" w:rsidR="002C16C7" w:rsidRPr="006F140E" w:rsidRDefault="002C16C7" w:rsidP="00B22D53">
      <w:pPr>
        <w:spacing w:before="0" w:after="0"/>
      </w:pPr>
    </w:p>
    <w:p w14:paraId="540FD448" w14:textId="77777777" w:rsidR="002C16C7" w:rsidRPr="006F140E" w:rsidRDefault="002C16C7" w:rsidP="00B22D53">
      <w:pPr>
        <w:spacing w:before="0" w:after="0"/>
      </w:pPr>
    </w:p>
    <w:p w14:paraId="76A2C37D" w14:textId="08080CC3" w:rsidR="00495037" w:rsidRPr="00495037" w:rsidRDefault="00495037" w:rsidP="00F34D8A">
      <w:pPr>
        <w:spacing w:before="0" w:after="0"/>
      </w:pPr>
      <w:r w:rsidRPr="00495037">
        <w:t xml:space="preserve">Les caractéristiques et les fonctionnalités des prototypes de compteurs </w:t>
      </w:r>
      <w:r w:rsidR="00F34D8A">
        <w:t xml:space="preserve">d'eau communicants </w:t>
      </w:r>
      <w:r w:rsidRPr="00495037">
        <w:t xml:space="preserve">vont être testées </w:t>
      </w:r>
      <w:r w:rsidR="009F7AE7">
        <w:t xml:space="preserve">à grande échelle (300 compteurs à chaque fois) </w:t>
      </w:r>
      <w:r w:rsidRPr="00495037">
        <w:t xml:space="preserve">au cours de cette phase finale </w:t>
      </w:r>
      <w:r w:rsidR="007A7DD9">
        <w:t>sur</w:t>
      </w:r>
      <w:r w:rsidRPr="00495037">
        <w:t xml:space="preserve"> cinq sites différents qui représentent une diversité de sites urbains, ruraux ou mixtes, et où opèrent les </w:t>
      </w:r>
      <w:r w:rsidRPr="00495037">
        <w:lastRenderedPageBreak/>
        <w:t xml:space="preserve">compagnies des eaux qui composent le groupement d'acheteurs : </w:t>
      </w:r>
      <w:r w:rsidRPr="00495037">
        <w:rPr>
          <w:b/>
        </w:rPr>
        <w:t>région de Sélestat (France), Vicence (Italie)</w:t>
      </w:r>
      <w:bookmarkStart w:id="0" w:name="_GoBack"/>
      <w:bookmarkEnd w:id="0"/>
      <w:r w:rsidRPr="00495037">
        <w:rPr>
          <w:b/>
        </w:rPr>
        <w:t xml:space="preserve">, </w:t>
      </w:r>
      <w:proofErr w:type="spellStart"/>
      <w:r w:rsidRPr="00495037">
        <w:rPr>
          <w:b/>
        </w:rPr>
        <w:t>Zafra</w:t>
      </w:r>
      <w:proofErr w:type="spellEnd"/>
      <w:r w:rsidRPr="00495037">
        <w:rPr>
          <w:b/>
        </w:rPr>
        <w:t xml:space="preserve"> (Espagne), Liège et Herstal (Belgique), et Budapest (Hongrie).</w:t>
      </w:r>
    </w:p>
    <w:p w14:paraId="4F264F18" w14:textId="77777777" w:rsidR="00B73EC2" w:rsidRPr="00495037" w:rsidRDefault="00B73EC2" w:rsidP="00B73EC2">
      <w:pPr>
        <w:spacing w:before="0" w:after="0"/>
      </w:pPr>
    </w:p>
    <w:p w14:paraId="24E92A66" w14:textId="58A528C5" w:rsidR="00495037" w:rsidRPr="00495037" w:rsidRDefault="00495037" w:rsidP="00495037">
      <w:pPr>
        <w:rPr>
          <w:b/>
        </w:rPr>
      </w:pPr>
      <w:r w:rsidRPr="00495037">
        <w:rPr>
          <w:b/>
        </w:rPr>
        <w:t>À propos de SMART.MET (</w:t>
      </w:r>
      <w:r w:rsidR="00FC7796" w:rsidRPr="00FC7796">
        <w:rPr>
          <w:b/>
        </w:rPr>
        <w:t xml:space="preserve">APC </w:t>
      </w:r>
      <w:r w:rsidRPr="00495037">
        <w:rPr>
          <w:b/>
        </w:rPr>
        <w:t xml:space="preserve">pour </w:t>
      </w:r>
      <w:r w:rsidR="000659A8">
        <w:rPr>
          <w:b/>
        </w:rPr>
        <w:t>c</w:t>
      </w:r>
      <w:r>
        <w:rPr>
          <w:b/>
        </w:rPr>
        <w:t>ompteurs d'eau communicants</w:t>
      </w:r>
      <w:r w:rsidRPr="00495037">
        <w:rPr>
          <w:b/>
        </w:rPr>
        <w:t>)</w:t>
      </w:r>
    </w:p>
    <w:p w14:paraId="7A812F24" w14:textId="604EB146" w:rsidR="00F34D8A" w:rsidRDefault="000659A8" w:rsidP="00F34D8A">
      <w:r>
        <w:t xml:space="preserve">SMART.MET </w:t>
      </w:r>
      <w:r w:rsidR="00F34D8A" w:rsidRPr="00F34D8A">
        <w:t xml:space="preserve">est un projet européen </w:t>
      </w:r>
      <w:r w:rsidR="007A7DD9" w:rsidRPr="00F34D8A">
        <w:t>lancé en 2017</w:t>
      </w:r>
      <w:r w:rsidR="007A7DD9">
        <w:t xml:space="preserve">, et </w:t>
      </w:r>
      <w:r w:rsidR="00F34D8A" w:rsidRPr="00F34D8A">
        <w:t xml:space="preserve">financé dans le cadre du programme de recherche Horizon 2020. </w:t>
      </w:r>
      <w:r w:rsidR="007A7DD9">
        <w:t>Il</w:t>
      </w:r>
      <w:r w:rsidR="00F34D8A" w:rsidRPr="00F34D8A">
        <w:t xml:space="preserve"> vise à promouvoir la recherche axée sur la demande pour le développement de nouvelles solutions innovantes de compteurs </w:t>
      </w:r>
      <w:r w:rsidRPr="00F34D8A">
        <w:t>communicants</w:t>
      </w:r>
      <w:r w:rsidR="007A7DD9">
        <w:t>,</w:t>
      </w:r>
      <w:r w:rsidRPr="00F34D8A">
        <w:t xml:space="preserve"> </w:t>
      </w:r>
      <w:r w:rsidR="00F34D8A" w:rsidRPr="00F34D8A">
        <w:t>qui répondent pleinement aux besoins des services d'eau.</w:t>
      </w:r>
    </w:p>
    <w:p w14:paraId="316BF308" w14:textId="38AB1C44" w:rsidR="000659A8" w:rsidRDefault="000659A8" w:rsidP="00F34D8A">
      <w:r w:rsidRPr="000659A8">
        <w:t xml:space="preserve">Le comptage </w:t>
      </w:r>
      <w:r>
        <w:t>communicant</w:t>
      </w:r>
      <w:r w:rsidRPr="000659A8">
        <w:t xml:space="preserve"> de l'eau se présente comme une solution efficace aux défis auxquels la majorité des services d'eau européens sont confrontés aujourd'hui, qu'il s'agisse des événements extrêmes induits par le changement climatique ou de la nécessité de remplacer des infrastructures vieillissantes. En effet, l'accès à des données précises en temps réel peut contribuer à réduire les coûts d'exploitation et à hiérarchiser les investissements </w:t>
      </w:r>
      <w:r>
        <w:t>au niveau des</w:t>
      </w:r>
      <w:r w:rsidRPr="000659A8">
        <w:t xml:space="preserve"> infrastructures, tout en améliorant la gestion quotidienne des résea</w:t>
      </w:r>
      <w:r w:rsidR="00FC7796">
        <w:t>ux et des services aux clients.</w:t>
      </w:r>
    </w:p>
    <w:p w14:paraId="0CA665DB" w14:textId="77777777" w:rsidR="002F12F4" w:rsidRPr="00F34D8A" w:rsidRDefault="002F12F4" w:rsidP="002F12F4"/>
    <w:p w14:paraId="669E2A28" w14:textId="77777777" w:rsidR="002F12F4" w:rsidRDefault="002F12F4" w:rsidP="002F12F4">
      <w:pPr>
        <w:pBdr>
          <w:top w:val="single" w:sz="4" w:space="1" w:color="auto"/>
          <w:left w:val="single" w:sz="4" w:space="4" w:color="auto"/>
          <w:bottom w:val="single" w:sz="4" w:space="1" w:color="auto"/>
          <w:right w:val="single" w:sz="4" w:space="4" w:color="auto"/>
        </w:pBdr>
      </w:pPr>
      <w:r w:rsidRPr="00FC7796">
        <w:t xml:space="preserve">Les achats publics avant commercialisation (APC) </w:t>
      </w:r>
      <w:r>
        <w:t>sont d</w:t>
      </w:r>
      <w:r w:rsidRPr="00FC7796">
        <w:t xml:space="preserve">es marchés publics de services de recherche et développement. Il s'agit d'un instrument unique pour favoriser la concurrence pour le développement de solutions alternatives et de haute qualité tout en apportant une réponse adaptée aux besoins communs et en ouvrant de nouveaux marchés aux entreprises. </w:t>
      </w:r>
    </w:p>
    <w:p w14:paraId="0E5A612D" w14:textId="77777777" w:rsidR="007A7DD9" w:rsidRDefault="007A7DD9" w:rsidP="00F34D8A"/>
    <w:p w14:paraId="176824DD" w14:textId="4D314E2B" w:rsidR="00FC7796" w:rsidRDefault="00FC7796" w:rsidP="00F34D8A">
      <w:r w:rsidRPr="00FC7796">
        <w:t xml:space="preserve">Le groupe d'acheteurs est composé </w:t>
      </w:r>
      <w:r w:rsidRPr="002F12F4">
        <w:t>de sept compagnies des eaux de cinq pays de l’UE</w:t>
      </w:r>
      <w:r w:rsidR="007A7DD9" w:rsidRPr="002F12F4">
        <w:t>,</w:t>
      </w:r>
      <w:r w:rsidR="007A7DD9">
        <w:t xml:space="preserve"> dont </w:t>
      </w:r>
      <w:r w:rsidR="007A7DD9" w:rsidRPr="007A7DD9">
        <w:rPr>
          <w:b/>
        </w:rPr>
        <w:t>Eau de Paris</w:t>
      </w:r>
      <w:r w:rsidR="007A7DD9">
        <w:t xml:space="preserve"> et le </w:t>
      </w:r>
      <w:r w:rsidR="007A7DD9" w:rsidRPr="007A7DD9">
        <w:rPr>
          <w:b/>
        </w:rPr>
        <w:t>Syndicat des Eaux et de l'Assainissement Alsace-Moselle (SDEA)</w:t>
      </w:r>
      <w:r w:rsidR="007A7DD9">
        <w:t xml:space="preserve"> en France ; ils sont accompagnés par </w:t>
      </w:r>
      <w:r w:rsidR="002F12F4">
        <w:t>6</w:t>
      </w:r>
      <w:r w:rsidR="007A7DD9">
        <w:t xml:space="preserve"> partenaires scientifiques et techniques, dont </w:t>
      </w:r>
      <w:r w:rsidR="007A7DD9" w:rsidRPr="007A7DD9">
        <w:rPr>
          <w:b/>
        </w:rPr>
        <w:t>l’Office International de l’eau</w:t>
      </w:r>
      <w:r w:rsidR="007A7DD9">
        <w:t xml:space="preserve"> (coordinateur du projet), et le </w:t>
      </w:r>
      <w:r w:rsidR="007A7DD9" w:rsidRPr="007A7DD9">
        <w:rPr>
          <w:b/>
        </w:rPr>
        <w:t>laboratoire XLIM de l’Université de Limoges</w:t>
      </w:r>
      <w:r w:rsidR="007A7DD9">
        <w:t>.</w:t>
      </w:r>
    </w:p>
    <w:p w14:paraId="5CC438F1" w14:textId="77777777" w:rsidR="002F12F4" w:rsidRDefault="002F12F4" w:rsidP="00F34D8A"/>
    <w:p w14:paraId="1BB1AA6E" w14:textId="0B21EB4D" w:rsidR="00FC7796" w:rsidRPr="009E0421" w:rsidRDefault="00FC7796" w:rsidP="00FC7796">
      <w:pPr>
        <w:rPr>
          <w:i/>
        </w:rPr>
      </w:pPr>
      <w:r w:rsidRPr="009E0421">
        <w:rPr>
          <w:i/>
        </w:rPr>
        <w:t>Favoriser le développement de nouvelles solutions pour la collecte et la gestion intelligente des données de comptage de l'eau.</w:t>
      </w:r>
    </w:p>
    <w:p w14:paraId="057CA67A" w14:textId="77777777" w:rsidR="009E0421" w:rsidRDefault="009E0421" w:rsidP="009E0421">
      <w:pPr>
        <w:rPr>
          <w:b/>
        </w:rPr>
      </w:pPr>
    </w:p>
    <w:p w14:paraId="7A38C254" w14:textId="6E8410B7" w:rsidR="009E0421" w:rsidRPr="009E0421" w:rsidRDefault="009E0421" w:rsidP="009E0421">
      <w:pPr>
        <w:rPr>
          <w:b/>
        </w:rPr>
      </w:pPr>
      <w:r w:rsidRPr="009E0421">
        <w:rPr>
          <w:b/>
        </w:rPr>
        <w:t>P</w:t>
      </w:r>
      <w:r>
        <w:rPr>
          <w:b/>
        </w:rPr>
        <w:t>our p</w:t>
      </w:r>
      <w:r w:rsidRPr="009E0421">
        <w:rPr>
          <w:b/>
        </w:rPr>
        <w:t>lus d'informations :</w:t>
      </w:r>
    </w:p>
    <w:p w14:paraId="7E7B2B59" w14:textId="20607F7E" w:rsidR="00620D65" w:rsidRPr="009E0421" w:rsidRDefault="009E0421" w:rsidP="009E0421">
      <w:pPr>
        <w:spacing w:before="0" w:after="0"/>
      </w:pPr>
      <w:r>
        <w:t>Site web</w:t>
      </w:r>
      <w:r w:rsidR="00620D65" w:rsidRPr="009E0421">
        <w:t xml:space="preserve">: </w:t>
      </w:r>
      <w:hyperlink r:id="rId10" w:history="1">
        <w:r w:rsidR="00620D65" w:rsidRPr="009E0421">
          <w:rPr>
            <w:rStyle w:val="Lienhypertexte"/>
          </w:rPr>
          <w:t>http://</w:t>
        </w:r>
      </w:hyperlink>
      <w:hyperlink r:id="rId11" w:history="1">
        <w:r w:rsidR="00620D65" w:rsidRPr="009E0421">
          <w:rPr>
            <w:rStyle w:val="Lienhypertexte"/>
          </w:rPr>
          <w:t>smart-met.eu</w:t>
        </w:r>
      </w:hyperlink>
    </w:p>
    <w:p w14:paraId="563AF9A8" w14:textId="77777777" w:rsidR="00620D65" w:rsidRPr="006F140E" w:rsidRDefault="00620D65" w:rsidP="009E0421">
      <w:pPr>
        <w:spacing w:before="0" w:after="0"/>
      </w:pPr>
      <w:r w:rsidRPr="006F140E">
        <w:t>Twitter: @</w:t>
      </w:r>
      <w:proofErr w:type="spellStart"/>
      <w:r w:rsidRPr="006F140E">
        <w:t>SmartMet_PCP</w:t>
      </w:r>
      <w:proofErr w:type="spellEnd"/>
    </w:p>
    <w:p w14:paraId="2F88737B" w14:textId="0C0EEF61" w:rsidR="00620D65" w:rsidRDefault="009E0421" w:rsidP="009E0421">
      <w:pPr>
        <w:spacing w:before="0" w:after="0"/>
        <w:rPr>
          <w:rStyle w:val="Lienhypertexte"/>
        </w:rPr>
      </w:pPr>
      <w:r w:rsidRPr="009E0421">
        <w:t>Courriel :</w:t>
      </w:r>
      <w:r w:rsidR="00620D65" w:rsidRPr="009E0421">
        <w:t xml:space="preserve"> </w:t>
      </w:r>
      <w:hyperlink r:id="rId12" w:history="1">
        <w:r w:rsidR="00620D65" w:rsidRPr="009E0421">
          <w:rPr>
            <w:rStyle w:val="Lienhypertexte"/>
          </w:rPr>
          <w:t>smart.met@oieau.fr</w:t>
        </w:r>
      </w:hyperlink>
    </w:p>
    <w:p w14:paraId="6EB9977D" w14:textId="77777777" w:rsidR="003C21D2" w:rsidRDefault="003C21D2" w:rsidP="009E0421">
      <w:pPr>
        <w:spacing w:before="0" w:after="0"/>
      </w:pPr>
    </w:p>
    <w:p w14:paraId="66BD7C67" w14:textId="77777777" w:rsidR="007A7DD9" w:rsidRPr="009E0421" w:rsidRDefault="007A7DD9" w:rsidP="009E0421">
      <w:pPr>
        <w:spacing w:before="0" w:after="0"/>
      </w:pPr>
    </w:p>
    <w:p w14:paraId="20C2FA2C" w14:textId="282E4C7E" w:rsidR="00620D65" w:rsidRPr="009E0421" w:rsidRDefault="009E0421" w:rsidP="009E0421">
      <w:pPr>
        <w:spacing w:before="0" w:after="0"/>
        <w:rPr>
          <w:rFonts w:ascii="Arial" w:hAnsi="Arial" w:cs="Arial"/>
          <w:color w:val="8D8D8D"/>
          <w:sz w:val="18"/>
          <w:szCs w:val="18"/>
          <w:shd w:val="clear" w:color="auto" w:fill="FFFFFF"/>
        </w:rPr>
      </w:pPr>
      <w:r w:rsidRPr="009E0421">
        <w:rPr>
          <w:rFonts w:ascii="Arial" w:hAnsi="Arial" w:cs="Arial"/>
          <w:color w:val="8D8D8D"/>
          <w:sz w:val="18"/>
          <w:szCs w:val="18"/>
          <w:shd w:val="clear" w:color="auto" w:fill="FFFFFF"/>
        </w:rPr>
        <w:t>Ce projet est financé par le programme de recherche et d'innovation Horizon 2020 de l'Union européenne dans le cadre de la convention de subvention n° 731996</w:t>
      </w:r>
      <w:r w:rsidR="00620D65">
        <w:rPr>
          <w:rFonts w:ascii="Arial" w:hAnsi="Arial" w:cs="Arial"/>
          <w:noProof/>
          <w:color w:val="8D8D8D"/>
          <w:sz w:val="18"/>
          <w:szCs w:val="18"/>
        </w:rPr>
        <w:drawing>
          <wp:anchor distT="0" distB="0" distL="114300" distR="114300" simplePos="0" relativeHeight="251659264" behindDoc="0" locked="0" layoutInCell="1" allowOverlap="1" wp14:anchorId="4599EF6E" wp14:editId="105477A4">
            <wp:simplePos x="0" y="0"/>
            <wp:positionH relativeFrom="column">
              <wp:posOffset>1281</wp:posOffset>
            </wp:positionH>
            <wp:positionV relativeFrom="paragraph">
              <wp:posOffset>22176</wp:posOffset>
            </wp:positionV>
            <wp:extent cx="443230" cy="303530"/>
            <wp:effectExtent l="0" t="0" r="0" b="1270"/>
            <wp:wrapTight wrapText="bothSides">
              <wp:wrapPolygon edited="0">
                <wp:start x="0" y="0"/>
                <wp:lineTo x="0" y="20335"/>
                <wp:lineTo x="20424" y="20335"/>
                <wp:lineTo x="20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230" cy="303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color w:val="8D8D8D"/>
          <w:sz w:val="18"/>
          <w:szCs w:val="18"/>
          <w:shd w:val="clear" w:color="auto" w:fill="FFFFFF"/>
        </w:rPr>
        <w:t xml:space="preserve"> </w:t>
      </w:r>
    </w:p>
    <w:p w14:paraId="0007C840" w14:textId="77777777" w:rsidR="001B1A80" w:rsidRPr="009E0421" w:rsidRDefault="001B1A80">
      <w:pPr>
        <w:rPr>
          <w:rFonts w:ascii="Arial" w:hAnsi="Arial" w:cs="Arial"/>
        </w:rPr>
      </w:pPr>
    </w:p>
    <w:sectPr w:rsidR="001B1A80" w:rsidRPr="009E0421" w:rsidSect="009E0421">
      <w:headerReference w:type="default" r:id="rId14"/>
      <w:footerReference w:type="default" r:id="rId15"/>
      <w:pgSz w:w="11906" w:h="16838"/>
      <w:pgMar w:top="1843" w:right="1417" w:bottom="3402" w:left="1417" w:header="850" w:footer="708" w:gutter="0"/>
      <w:pgNumType w:start="1"/>
      <w:cols w:space="720"/>
      <w:docGrid w:linePitch="360" w:charSpace="-22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A072" w16cex:dateUtc="2020-05-25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BA8C6" w16cid:durableId="22769F04"/>
  <w16cid:commentId w16cid:paraId="763BC838" w16cid:durableId="22769F06"/>
  <w16cid:commentId w16cid:paraId="0DF9102B" w16cid:durableId="22AB81A7"/>
  <w16cid:commentId w16cid:paraId="797552CA" w16cid:durableId="22AB81A8"/>
  <w16cid:commentId w16cid:paraId="4D6FD3E1" w16cid:durableId="22AB81A9"/>
  <w16cid:commentId w16cid:paraId="46ACE188" w16cid:durableId="2276A0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A43FF" w14:textId="77777777" w:rsidR="0022523B" w:rsidRDefault="0022523B">
      <w:pPr>
        <w:spacing w:before="0" w:after="0"/>
      </w:pPr>
      <w:r>
        <w:separator/>
      </w:r>
    </w:p>
  </w:endnote>
  <w:endnote w:type="continuationSeparator" w:id="0">
    <w:p w14:paraId="780CE370" w14:textId="77777777" w:rsidR="0022523B" w:rsidRDefault="002252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81">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27EC" w14:textId="77777777" w:rsidR="00F7752D" w:rsidRDefault="00620D65">
    <w:pPr>
      <w:pStyle w:val="Pieddepage"/>
      <w:tabs>
        <w:tab w:val="clear" w:pos="4536"/>
        <w:tab w:val="clear" w:pos="9072"/>
        <w:tab w:val="center" w:pos="4950"/>
      </w:tabs>
    </w:pPr>
    <w:r>
      <w:rPr>
        <w:noProof/>
      </w:rPr>
      <w:drawing>
        <wp:anchor distT="0" distB="1270" distL="114300" distR="123190" simplePos="0" relativeHeight="251660288" behindDoc="1" locked="0" layoutInCell="1" allowOverlap="1" wp14:anchorId="5FB9894B" wp14:editId="2E4B4020">
          <wp:simplePos x="0" y="0"/>
          <wp:positionH relativeFrom="column">
            <wp:posOffset>5080</wp:posOffset>
          </wp:positionH>
          <wp:positionV relativeFrom="paragraph">
            <wp:posOffset>-119380</wp:posOffset>
          </wp:positionV>
          <wp:extent cx="484505" cy="492760"/>
          <wp:effectExtent l="0" t="0" r="0" b="2540"/>
          <wp:wrapNone/>
          <wp:docPr id="1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492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635" distL="114300" distR="114300" simplePos="0" relativeHeight="251661312" behindDoc="1" locked="0" layoutInCell="1" allowOverlap="1" wp14:anchorId="628FECB1" wp14:editId="17E7E518">
          <wp:simplePos x="0" y="0"/>
          <wp:positionH relativeFrom="column">
            <wp:posOffset>5080</wp:posOffset>
          </wp:positionH>
          <wp:positionV relativeFrom="paragraph">
            <wp:posOffset>-814705</wp:posOffset>
          </wp:positionV>
          <wp:extent cx="403860" cy="531495"/>
          <wp:effectExtent l="0" t="0" r="0" b="1905"/>
          <wp:wrapNone/>
          <wp:docPr id="1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860" cy="531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E34A532" wp14:editId="364C788D">
          <wp:simplePos x="0" y="0"/>
          <wp:positionH relativeFrom="column">
            <wp:posOffset>738505</wp:posOffset>
          </wp:positionH>
          <wp:positionV relativeFrom="paragraph">
            <wp:posOffset>80645</wp:posOffset>
          </wp:positionV>
          <wp:extent cx="782320" cy="178435"/>
          <wp:effectExtent l="0" t="0" r="0" b="0"/>
          <wp:wrapNone/>
          <wp:docPr id="1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2320" cy="178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01308D3" wp14:editId="2EB980DB">
          <wp:simplePos x="0" y="0"/>
          <wp:positionH relativeFrom="column">
            <wp:posOffset>1529080</wp:posOffset>
          </wp:positionH>
          <wp:positionV relativeFrom="paragraph">
            <wp:posOffset>-805180</wp:posOffset>
          </wp:positionV>
          <wp:extent cx="560070" cy="514985"/>
          <wp:effectExtent l="0" t="0" r="0" b="0"/>
          <wp:wrapNone/>
          <wp:docPr id="1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70" cy="514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6350" distL="114300" distR="114300" simplePos="0" relativeHeight="251664384" behindDoc="1" locked="0" layoutInCell="1" allowOverlap="1" wp14:anchorId="31D4D9CD" wp14:editId="1D911DEA">
          <wp:simplePos x="0" y="0"/>
          <wp:positionH relativeFrom="column">
            <wp:posOffset>1719580</wp:posOffset>
          </wp:positionH>
          <wp:positionV relativeFrom="paragraph">
            <wp:posOffset>-81280</wp:posOffset>
          </wp:positionV>
          <wp:extent cx="1008380" cy="430530"/>
          <wp:effectExtent l="0" t="0" r="1270" b="7620"/>
          <wp:wrapNone/>
          <wp:docPr id="1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8380" cy="430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4445" distL="114300" distR="118745" simplePos="0" relativeHeight="251665408" behindDoc="1" locked="0" layoutInCell="1" allowOverlap="1" wp14:anchorId="199F1FC2" wp14:editId="63355101">
          <wp:simplePos x="0" y="0"/>
          <wp:positionH relativeFrom="column">
            <wp:posOffset>2386330</wp:posOffset>
          </wp:positionH>
          <wp:positionV relativeFrom="paragraph">
            <wp:posOffset>-776605</wp:posOffset>
          </wp:positionV>
          <wp:extent cx="584835" cy="584835"/>
          <wp:effectExtent l="0" t="0" r="5715" b="5715"/>
          <wp:wrapNone/>
          <wp:docPr id="1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8110" simplePos="0" relativeHeight="251666432" behindDoc="1" locked="0" layoutInCell="1" allowOverlap="1" wp14:anchorId="68B5A48C" wp14:editId="0F7179A5">
          <wp:simplePos x="0" y="0"/>
          <wp:positionH relativeFrom="column">
            <wp:posOffset>3100705</wp:posOffset>
          </wp:positionH>
          <wp:positionV relativeFrom="paragraph">
            <wp:posOffset>-281305</wp:posOffset>
          </wp:positionV>
          <wp:extent cx="737870" cy="591185"/>
          <wp:effectExtent l="0" t="0" r="5080" b="0"/>
          <wp:wrapNone/>
          <wp:docPr id="1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591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2C2D8393" wp14:editId="0F546019">
          <wp:simplePos x="0" y="0"/>
          <wp:positionH relativeFrom="column">
            <wp:posOffset>3329305</wp:posOffset>
          </wp:positionH>
          <wp:positionV relativeFrom="paragraph">
            <wp:posOffset>-700405</wp:posOffset>
          </wp:positionV>
          <wp:extent cx="1028700" cy="305435"/>
          <wp:effectExtent l="0" t="0" r="0" b="0"/>
          <wp:wrapNone/>
          <wp:docPr id="1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305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3810" distL="114300" distR="114300" simplePos="0" relativeHeight="251668480" behindDoc="1" locked="0" layoutInCell="1" allowOverlap="1" wp14:anchorId="299DBF94" wp14:editId="32F7588E">
          <wp:simplePos x="0" y="0"/>
          <wp:positionH relativeFrom="column">
            <wp:posOffset>4005580</wp:posOffset>
          </wp:positionH>
          <wp:positionV relativeFrom="paragraph">
            <wp:posOffset>-281305</wp:posOffset>
          </wp:positionV>
          <wp:extent cx="614045" cy="642620"/>
          <wp:effectExtent l="0" t="0" r="0" b="5080"/>
          <wp:wrapNone/>
          <wp:docPr id="1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045" cy="642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4445" distL="114300" distR="114300" simplePos="0" relativeHeight="251669504" behindDoc="1" locked="0" layoutInCell="1" allowOverlap="1" wp14:anchorId="4A8F72F8" wp14:editId="560CFF46">
          <wp:simplePos x="0" y="0"/>
          <wp:positionH relativeFrom="column">
            <wp:posOffset>605155</wp:posOffset>
          </wp:positionH>
          <wp:positionV relativeFrom="paragraph">
            <wp:posOffset>-833755</wp:posOffset>
          </wp:positionV>
          <wp:extent cx="612775" cy="546735"/>
          <wp:effectExtent l="0" t="0" r="0" b="5715"/>
          <wp:wrapNone/>
          <wp:docPr id="1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75" cy="546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5715" distL="114300" distR="114300" simplePos="0" relativeHeight="251671552" behindDoc="1" locked="0" layoutInCell="1" allowOverlap="1" wp14:anchorId="66EECEA2" wp14:editId="4BAA0967">
          <wp:simplePos x="0" y="0"/>
          <wp:positionH relativeFrom="column">
            <wp:posOffset>4358005</wp:posOffset>
          </wp:positionH>
          <wp:positionV relativeFrom="paragraph">
            <wp:posOffset>-871855</wp:posOffset>
          </wp:positionV>
          <wp:extent cx="744855" cy="678815"/>
          <wp:effectExtent l="0" t="0" r="0" b="6985"/>
          <wp:wrapNone/>
          <wp:docPr id="1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855" cy="678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51187B00" wp14:editId="5537A09D">
          <wp:simplePos x="0" y="0"/>
          <wp:positionH relativeFrom="column">
            <wp:posOffset>5148580</wp:posOffset>
          </wp:positionH>
          <wp:positionV relativeFrom="paragraph">
            <wp:posOffset>-662305</wp:posOffset>
          </wp:positionV>
          <wp:extent cx="1315085" cy="265430"/>
          <wp:effectExtent l="0" t="0" r="0" b="1270"/>
          <wp:wrapNone/>
          <wp:docPr id="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5085" cy="265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6350" distL="114300" distR="114300" simplePos="0" relativeHeight="251673600" behindDoc="1" locked="0" layoutInCell="1" allowOverlap="1" wp14:anchorId="5B20F142" wp14:editId="52198BF6">
          <wp:simplePos x="0" y="0"/>
          <wp:positionH relativeFrom="column">
            <wp:posOffset>5186680</wp:posOffset>
          </wp:positionH>
          <wp:positionV relativeFrom="paragraph">
            <wp:posOffset>-290830</wp:posOffset>
          </wp:positionV>
          <wp:extent cx="1103630" cy="582930"/>
          <wp:effectExtent l="0" t="0" r="1270" b="7620"/>
          <wp:wrapNone/>
          <wp:docPr id="1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3630" cy="582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A8B8E08" w14:textId="77777777" w:rsidR="00F7752D" w:rsidRDefault="00811EB2">
    <w:pPr>
      <w:pStyle w:val="Pieddepage"/>
      <w:tabs>
        <w:tab w:val="clear" w:pos="4536"/>
        <w:tab w:val="clear" w:pos="9072"/>
        <w:tab w:val="center" w:pos="4950"/>
      </w:tabs>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BEF05" w14:textId="77777777" w:rsidR="0022523B" w:rsidRDefault="0022523B">
      <w:pPr>
        <w:spacing w:before="0" w:after="0"/>
      </w:pPr>
      <w:r>
        <w:separator/>
      </w:r>
    </w:p>
  </w:footnote>
  <w:footnote w:type="continuationSeparator" w:id="0">
    <w:p w14:paraId="21E8E6DD" w14:textId="77777777" w:rsidR="0022523B" w:rsidRDefault="0022523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66437" w14:textId="77777777" w:rsidR="00F7752D" w:rsidRDefault="00620D65">
    <w:pPr>
      <w:pStyle w:val="En-tte"/>
    </w:pPr>
    <w:r>
      <w:rPr>
        <w:noProof/>
      </w:rPr>
      <w:drawing>
        <wp:anchor distT="0" distB="0" distL="114300" distR="121920" simplePos="0" relativeHeight="251659264" behindDoc="1" locked="0" layoutInCell="1" allowOverlap="1" wp14:anchorId="79E32804" wp14:editId="1A831A8A">
          <wp:simplePos x="0" y="0"/>
          <wp:positionH relativeFrom="page">
            <wp:posOffset>812165</wp:posOffset>
          </wp:positionH>
          <wp:positionV relativeFrom="paragraph">
            <wp:posOffset>-367665</wp:posOffset>
          </wp:positionV>
          <wp:extent cx="1819910" cy="743585"/>
          <wp:effectExtent l="0" t="0" r="8890" b="0"/>
          <wp:wrapSquare wrapText="bothSides"/>
          <wp:docPr id="1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7435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1" locked="0" layoutInCell="1" allowOverlap="1" wp14:anchorId="329DE7FD" wp14:editId="6ED9B62A">
              <wp:simplePos x="0" y="0"/>
              <wp:positionH relativeFrom="column">
                <wp:posOffset>2775585</wp:posOffset>
              </wp:positionH>
              <wp:positionV relativeFrom="paragraph">
                <wp:posOffset>-148590</wp:posOffset>
              </wp:positionV>
              <wp:extent cx="2886075" cy="490220"/>
              <wp:effectExtent l="0" t="635" r="127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9022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1F75D" id="_x0000_t202" coordsize="21600,21600" o:spt="202" path="m,l,21600r21600,l21600,xe">
              <v:stroke joinstyle="miter"/>
              <v:path gradientshapeok="t" o:connecttype="rect"/>
            </v:shapetype>
            <v:shape id="Text Box 18" o:spid="_x0000_s1026" type="#_x0000_t202" style="position:absolute;margin-left:218.55pt;margin-top:-11.7pt;width:227.25pt;height:38.6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" stroked="f" strokecolor="#3465a4">
              <v:stroke joinstyle="round"/>
            </v:shape>
          </w:pict>
        </mc:Fallback>
      </mc:AlternateContent>
    </w:r>
    <w:r>
      <w:rPr>
        <w:noProof/>
      </w:rPr>
      <mc:AlternateContent>
        <mc:Choice Requires="wps">
          <w:drawing>
            <wp:anchor distT="72390" distB="72390" distL="72390" distR="72390" simplePos="0" relativeHeight="251674624" behindDoc="0" locked="0" layoutInCell="1" allowOverlap="1" wp14:anchorId="312E609F" wp14:editId="5B3D74E0">
              <wp:simplePos x="0" y="0"/>
              <wp:positionH relativeFrom="column">
                <wp:posOffset>2775585</wp:posOffset>
              </wp:positionH>
              <wp:positionV relativeFrom="paragraph">
                <wp:posOffset>-148590</wp:posOffset>
              </wp:positionV>
              <wp:extent cx="2885440" cy="398780"/>
              <wp:effectExtent l="8255" t="635" r="190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398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D209D" w14:textId="15F2B2D7" w:rsidR="00F7752D" w:rsidRPr="000C0ABD" w:rsidRDefault="000C0ABD">
                          <w:pPr>
                            <w:pStyle w:val="Contenidodelmarco"/>
                            <w:spacing w:before="0" w:after="0"/>
                          </w:pPr>
                          <w:r w:rsidRPr="000C0ABD">
                            <w:rPr>
                              <w:b/>
                              <w:bCs/>
                              <w:color w:val="auto"/>
                              <w:sz w:val="18"/>
                              <w:szCs w:val="18"/>
                            </w:rPr>
                            <w:t>Financé par l'Union européenne</w:t>
                          </w:r>
                          <w:r w:rsidR="00811EB2" w:rsidRPr="000C0ABD">
                            <w:rPr>
                              <w:b/>
                              <w:bCs/>
                              <w:color w:val="auto"/>
                              <w:sz w:val="18"/>
                              <w:szCs w:val="18"/>
                            </w:rPr>
                            <w:t xml:space="preserve"> H2020-ICT-2016-1</w:t>
                          </w:r>
                        </w:p>
                        <w:p w14:paraId="7258E4B3" w14:textId="77777777" w:rsidR="00F7752D" w:rsidRDefault="00811EB2">
                          <w:pPr>
                            <w:pStyle w:val="Contenidodelmarco"/>
                            <w:spacing w:before="0" w:after="0"/>
                          </w:pPr>
                          <w:r>
                            <w:rPr>
                              <w:b/>
                              <w:bCs/>
                              <w:color w:val="auto"/>
                              <w:sz w:val="18"/>
                              <w:szCs w:val="18"/>
                              <w:lang w:val="en-US"/>
                            </w:rPr>
                            <w:t>GA – 731996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609F" id="Text Box 17" o:spid="_x0000_s1026" type="#_x0000_t202" style="position:absolute;left:0;text-align:left;margin-left:218.55pt;margin-top:-11.7pt;width:227.2pt;height:31.4pt;z-index:25167462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" stroked="f">
              <v:fill opacity="0"/>
              <v:textbox inset="0,0,0,0">
                <w:txbxContent>
                  <w:p w14:paraId="037D209D" w14:textId="15F2B2D7" w:rsidR="00F7752D" w:rsidRPr="000C0ABD" w:rsidRDefault="000C0ABD">
                    <w:pPr>
                      <w:pStyle w:val="Contenidodelmarco"/>
                      <w:spacing w:before="0" w:after="0"/>
                    </w:pPr>
                    <w:r w:rsidRPr="000C0ABD">
                      <w:rPr>
                        <w:b/>
                        <w:bCs/>
                        <w:color w:val="auto"/>
                        <w:sz w:val="18"/>
                        <w:szCs w:val="18"/>
                      </w:rPr>
                      <w:t>Financé par l'Union européenne</w:t>
                    </w:r>
                    <w:r w:rsidR="00811EB2" w:rsidRPr="000C0ABD">
                      <w:rPr>
                        <w:b/>
                        <w:bCs/>
                        <w:color w:val="auto"/>
                        <w:sz w:val="18"/>
                        <w:szCs w:val="18"/>
                      </w:rPr>
                      <w:t xml:space="preserve"> H2020-ICT-2016-1</w:t>
                    </w:r>
                  </w:p>
                  <w:p w14:paraId="7258E4B3" w14:textId="77777777" w:rsidR="00F7752D" w:rsidRDefault="00811EB2">
                    <w:pPr>
                      <w:pStyle w:val="Contenidodelmarco"/>
                      <w:spacing w:before="0" w:after="0"/>
                    </w:pPr>
                    <w:r>
                      <w:rPr>
                        <w:b/>
                        <w:bCs/>
                        <w:color w:val="auto"/>
                        <w:sz w:val="18"/>
                        <w:szCs w:val="18"/>
                        <w:lang w:val="en-US"/>
                      </w:rPr>
                      <w:t>GA – 731996</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52D52D"/>
    <w:multiLevelType w:val="hybridMultilevel"/>
    <w:tmpl w:val="5A3131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67690D"/>
    <w:multiLevelType w:val="hybridMultilevel"/>
    <w:tmpl w:val="BABD93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C4A325"/>
    <w:multiLevelType w:val="hybridMultilevel"/>
    <w:tmpl w:val="76C85C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6174CB3"/>
    <w:multiLevelType w:val="hybridMultilevel"/>
    <w:tmpl w:val="877652C0"/>
    <w:lvl w:ilvl="0" w:tplc="44C2159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D3EC6A5"/>
    <w:multiLevelType w:val="hybridMultilevel"/>
    <w:tmpl w:val="71E5D4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65"/>
    <w:rsid w:val="000659A8"/>
    <w:rsid w:val="00083B2D"/>
    <w:rsid w:val="000C0ABD"/>
    <w:rsid w:val="000E6467"/>
    <w:rsid w:val="00126A75"/>
    <w:rsid w:val="00176ADC"/>
    <w:rsid w:val="001B1A80"/>
    <w:rsid w:val="00205A1B"/>
    <w:rsid w:val="00211164"/>
    <w:rsid w:val="00217BC0"/>
    <w:rsid w:val="0022523B"/>
    <w:rsid w:val="002446E5"/>
    <w:rsid w:val="00290B8E"/>
    <w:rsid w:val="002935AC"/>
    <w:rsid w:val="002C16C7"/>
    <w:rsid w:val="002E7586"/>
    <w:rsid w:val="002F12F4"/>
    <w:rsid w:val="00316F84"/>
    <w:rsid w:val="00344CCD"/>
    <w:rsid w:val="003A2900"/>
    <w:rsid w:val="003C21D2"/>
    <w:rsid w:val="003C7EEE"/>
    <w:rsid w:val="00406BAC"/>
    <w:rsid w:val="00423DFB"/>
    <w:rsid w:val="00460E33"/>
    <w:rsid w:val="00464CEA"/>
    <w:rsid w:val="00466656"/>
    <w:rsid w:val="00472798"/>
    <w:rsid w:val="00495037"/>
    <w:rsid w:val="004A7B5D"/>
    <w:rsid w:val="004C1424"/>
    <w:rsid w:val="004E6A00"/>
    <w:rsid w:val="00500A01"/>
    <w:rsid w:val="005156B5"/>
    <w:rsid w:val="00542E30"/>
    <w:rsid w:val="005568CE"/>
    <w:rsid w:val="005A12C0"/>
    <w:rsid w:val="005A2292"/>
    <w:rsid w:val="00604442"/>
    <w:rsid w:val="00611789"/>
    <w:rsid w:val="00620D65"/>
    <w:rsid w:val="006762F3"/>
    <w:rsid w:val="00692148"/>
    <w:rsid w:val="006E28CD"/>
    <w:rsid w:val="006F140E"/>
    <w:rsid w:val="00706EA2"/>
    <w:rsid w:val="00767E37"/>
    <w:rsid w:val="00776BE8"/>
    <w:rsid w:val="007A6D99"/>
    <w:rsid w:val="007A7DD9"/>
    <w:rsid w:val="007E6980"/>
    <w:rsid w:val="00803DAA"/>
    <w:rsid w:val="00811EB2"/>
    <w:rsid w:val="00815292"/>
    <w:rsid w:val="00823E19"/>
    <w:rsid w:val="00873D7D"/>
    <w:rsid w:val="008D6708"/>
    <w:rsid w:val="008F0DFA"/>
    <w:rsid w:val="009010A5"/>
    <w:rsid w:val="00901502"/>
    <w:rsid w:val="0090542C"/>
    <w:rsid w:val="00926E4F"/>
    <w:rsid w:val="009327D7"/>
    <w:rsid w:val="00933E15"/>
    <w:rsid w:val="009550D2"/>
    <w:rsid w:val="00963736"/>
    <w:rsid w:val="009B0A1C"/>
    <w:rsid w:val="009B32F6"/>
    <w:rsid w:val="009E0421"/>
    <w:rsid w:val="009F223F"/>
    <w:rsid w:val="009F7AE7"/>
    <w:rsid w:val="00A1324B"/>
    <w:rsid w:val="00A237F4"/>
    <w:rsid w:val="00A31DB5"/>
    <w:rsid w:val="00A67C51"/>
    <w:rsid w:val="00A72763"/>
    <w:rsid w:val="00AC1F02"/>
    <w:rsid w:val="00B13302"/>
    <w:rsid w:val="00B20BCE"/>
    <w:rsid w:val="00B22D53"/>
    <w:rsid w:val="00B35505"/>
    <w:rsid w:val="00B41A5E"/>
    <w:rsid w:val="00B46890"/>
    <w:rsid w:val="00B57152"/>
    <w:rsid w:val="00B66FC5"/>
    <w:rsid w:val="00B73EC2"/>
    <w:rsid w:val="00BB1F3F"/>
    <w:rsid w:val="00BC3710"/>
    <w:rsid w:val="00BF47D4"/>
    <w:rsid w:val="00C144E3"/>
    <w:rsid w:val="00C350DA"/>
    <w:rsid w:val="00C525CA"/>
    <w:rsid w:val="00C67D50"/>
    <w:rsid w:val="00D47D4A"/>
    <w:rsid w:val="00D67D84"/>
    <w:rsid w:val="00D721B8"/>
    <w:rsid w:val="00D7328B"/>
    <w:rsid w:val="00DA0FDD"/>
    <w:rsid w:val="00DE0D09"/>
    <w:rsid w:val="00E26F95"/>
    <w:rsid w:val="00E74D58"/>
    <w:rsid w:val="00E822FA"/>
    <w:rsid w:val="00ED5E1B"/>
    <w:rsid w:val="00EF39DC"/>
    <w:rsid w:val="00F031E4"/>
    <w:rsid w:val="00F03543"/>
    <w:rsid w:val="00F13FBD"/>
    <w:rsid w:val="00F32C8D"/>
    <w:rsid w:val="00F34D8A"/>
    <w:rsid w:val="00F649D7"/>
    <w:rsid w:val="00F77FD2"/>
    <w:rsid w:val="00FA3676"/>
    <w:rsid w:val="00FC7796"/>
    <w:rsid w:val="00FE19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8A69C"/>
  <w15:docId w15:val="{E59E68D8-F002-4292-9CFD-9B63FBD5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21"/>
    <w:pPr>
      <w:suppressAutoHyphens/>
      <w:spacing w:before="120" w:after="120" w:line="240" w:lineRule="auto"/>
      <w:jc w:val="both"/>
    </w:pPr>
    <w:rPr>
      <w:rFonts w:ascii="Calibri" w:eastAsia="Times New Roman" w:hAnsi="Calibri" w:cs="Times New Roman"/>
      <w:color w:val="404040"/>
      <w:kern w:val="1"/>
      <w:szCs w:val="24"/>
      <w:lang w:val="fr-FR" w:eastAsia="fr-FR"/>
    </w:rPr>
  </w:style>
  <w:style w:type="paragraph" w:styleId="Titre2">
    <w:name w:val="heading 2"/>
    <w:basedOn w:val="Normal"/>
    <w:next w:val="Normal"/>
    <w:link w:val="Titre2Car"/>
    <w:qFormat/>
    <w:rsid w:val="00620D65"/>
    <w:pPr>
      <w:keepNext/>
      <w:keepLines/>
      <w:numPr>
        <w:ilvl w:val="1"/>
        <w:numId w:val="1"/>
      </w:numPr>
      <w:spacing w:after="200"/>
      <w:outlineLvl w:val="1"/>
    </w:pPr>
    <w:rPr>
      <w:rFonts w:ascii="Cambria" w:eastAsia="font381" w:hAnsi="Cambria" w:cs="font381"/>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20D65"/>
    <w:rPr>
      <w:rFonts w:ascii="Cambria" w:eastAsia="font381" w:hAnsi="Cambria" w:cs="font381"/>
      <w:b/>
      <w:bCs/>
      <w:color w:val="404040"/>
      <w:kern w:val="1"/>
      <w:sz w:val="24"/>
      <w:szCs w:val="26"/>
      <w:lang w:val="fr-FR" w:eastAsia="fr-FR"/>
    </w:rPr>
  </w:style>
  <w:style w:type="character" w:styleId="Lienhypertexte">
    <w:name w:val="Hyperlink"/>
    <w:rsid w:val="00620D65"/>
    <w:rPr>
      <w:color w:val="0000FF"/>
      <w:u w:val="single"/>
    </w:rPr>
  </w:style>
  <w:style w:type="paragraph" w:styleId="En-tte">
    <w:name w:val="header"/>
    <w:basedOn w:val="Normal"/>
    <w:link w:val="En-tteCar"/>
    <w:rsid w:val="00620D65"/>
    <w:pPr>
      <w:tabs>
        <w:tab w:val="center" w:pos="4536"/>
        <w:tab w:val="right" w:pos="9072"/>
      </w:tabs>
    </w:pPr>
  </w:style>
  <w:style w:type="character" w:customStyle="1" w:styleId="En-tteCar">
    <w:name w:val="En-tête Car"/>
    <w:basedOn w:val="Policepardfaut"/>
    <w:link w:val="En-tte"/>
    <w:rsid w:val="00620D65"/>
    <w:rPr>
      <w:rFonts w:ascii="Calibri" w:eastAsia="Times New Roman" w:hAnsi="Calibri" w:cs="Times New Roman"/>
      <w:color w:val="404040"/>
      <w:kern w:val="1"/>
      <w:szCs w:val="24"/>
      <w:lang w:val="fr-FR" w:eastAsia="fr-FR"/>
    </w:rPr>
  </w:style>
  <w:style w:type="paragraph" w:styleId="Pieddepage">
    <w:name w:val="footer"/>
    <w:basedOn w:val="Normal"/>
    <w:link w:val="PieddepageCar"/>
    <w:rsid w:val="00620D65"/>
    <w:pPr>
      <w:tabs>
        <w:tab w:val="center" w:pos="4536"/>
        <w:tab w:val="right" w:pos="9072"/>
      </w:tabs>
    </w:pPr>
  </w:style>
  <w:style w:type="character" w:customStyle="1" w:styleId="PieddepageCar">
    <w:name w:val="Pied de page Car"/>
    <w:basedOn w:val="Policepardfaut"/>
    <w:link w:val="Pieddepage"/>
    <w:rsid w:val="00620D65"/>
    <w:rPr>
      <w:rFonts w:ascii="Calibri" w:eastAsia="Times New Roman" w:hAnsi="Calibri" w:cs="Times New Roman"/>
      <w:color w:val="404040"/>
      <w:kern w:val="1"/>
      <w:szCs w:val="24"/>
      <w:lang w:val="fr-FR" w:eastAsia="fr-FR"/>
    </w:rPr>
  </w:style>
  <w:style w:type="paragraph" w:customStyle="1" w:styleId="Contenidodelmarco">
    <w:name w:val="Contenido del marco"/>
    <w:basedOn w:val="Normal"/>
    <w:rsid w:val="00620D65"/>
  </w:style>
  <w:style w:type="paragraph" w:styleId="Textedebulles">
    <w:name w:val="Balloon Text"/>
    <w:basedOn w:val="Normal"/>
    <w:link w:val="TextedebullesCar"/>
    <w:uiPriority w:val="99"/>
    <w:semiHidden/>
    <w:unhideWhenUsed/>
    <w:rsid w:val="000E6467"/>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E6467"/>
    <w:rPr>
      <w:rFonts w:ascii="Tahoma" w:eastAsia="Times New Roman" w:hAnsi="Tahoma" w:cs="Tahoma"/>
      <w:color w:val="404040"/>
      <w:kern w:val="1"/>
      <w:sz w:val="16"/>
      <w:szCs w:val="16"/>
      <w:lang w:val="fr-FR" w:eastAsia="fr-FR"/>
    </w:rPr>
  </w:style>
  <w:style w:type="character" w:styleId="Marquedecommentaire">
    <w:name w:val="annotation reference"/>
    <w:basedOn w:val="Policepardfaut"/>
    <w:uiPriority w:val="99"/>
    <w:semiHidden/>
    <w:unhideWhenUsed/>
    <w:rsid w:val="000E6467"/>
    <w:rPr>
      <w:sz w:val="16"/>
      <w:szCs w:val="16"/>
    </w:rPr>
  </w:style>
  <w:style w:type="paragraph" w:styleId="Commentaire">
    <w:name w:val="annotation text"/>
    <w:basedOn w:val="Normal"/>
    <w:link w:val="CommentaireCar"/>
    <w:uiPriority w:val="99"/>
    <w:semiHidden/>
    <w:unhideWhenUsed/>
    <w:rsid w:val="000E6467"/>
    <w:rPr>
      <w:sz w:val="20"/>
      <w:szCs w:val="20"/>
    </w:rPr>
  </w:style>
  <w:style w:type="character" w:customStyle="1" w:styleId="CommentaireCar">
    <w:name w:val="Commentaire Car"/>
    <w:basedOn w:val="Policepardfaut"/>
    <w:link w:val="Commentaire"/>
    <w:uiPriority w:val="99"/>
    <w:semiHidden/>
    <w:rsid w:val="000E6467"/>
    <w:rPr>
      <w:rFonts w:ascii="Calibri" w:eastAsia="Times New Roman" w:hAnsi="Calibri" w:cs="Times New Roman"/>
      <w:color w:val="404040"/>
      <w:kern w:val="1"/>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0E6467"/>
    <w:rPr>
      <w:b/>
      <w:bCs/>
    </w:rPr>
  </w:style>
  <w:style w:type="character" w:customStyle="1" w:styleId="ObjetducommentaireCar">
    <w:name w:val="Objet du commentaire Car"/>
    <w:basedOn w:val="CommentaireCar"/>
    <w:link w:val="Objetducommentaire"/>
    <w:uiPriority w:val="99"/>
    <w:semiHidden/>
    <w:rsid w:val="000E6467"/>
    <w:rPr>
      <w:rFonts w:ascii="Calibri" w:eastAsia="Times New Roman" w:hAnsi="Calibri" w:cs="Times New Roman"/>
      <w:b/>
      <w:bCs/>
      <w:color w:val="404040"/>
      <w:kern w:val="1"/>
      <w:sz w:val="20"/>
      <w:szCs w:val="20"/>
      <w:lang w:val="fr-FR" w:eastAsia="fr-FR"/>
    </w:rPr>
  </w:style>
  <w:style w:type="paragraph" w:styleId="Rvision">
    <w:name w:val="Revision"/>
    <w:hidden/>
    <w:uiPriority w:val="99"/>
    <w:semiHidden/>
    <w:rsid w:val="00211164"/>
    <w:pPr>
      <w:spacing w:after="0" w:line="240" w:lineRule="auto"/>
    </w:pPr>
    <w:rPr>
      <w:rFonts w:ascii="Calibri" w:eastAsia="Times New Roman" w:hAnsi="Calibri" w:cs="Times New Roman"/>
      <w:color w:val="404040"/>
      <w:kern w:val="1"/>
      <w:szCs w:val="24"/>
      <w:lang w:val="fr-FR" w:eastAsia="fr-FR"/>
    </w:rPr>
  </w:style>
  <w:style w:type="character" w:customStyle="1" w:styleId="CommentTextChar1">
    <w:name w:val="Comment Text Char1"/>
    <w:uiPriority w:val="99"/>
    <w:semiHidden/>
    <w:rsid w:val="00B22D53"/>
    <w:rPr>
      <w:rFonts w:ascii="Calibri" w:hAnsi="Calibri"/>
      <w:color w:val="404040"/>
      <w:kern w:val="1"/>
      <w:lang w:val="fr-FR" w:eastAsia="fr-FR"/>
    </w:rPr>
  </w:style>
  <w:style w:type="paragraph" w:customStyle="1" w:styleId="Default">
    <w:name w:val="Default"/>
    <w:rsid w:val="00176ADC"/>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9B0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3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met.eu/" TargetMode="External"/><Relationship Id="rId13" Type="http://schemas.openxmlformats.org/officeDocument/2006/relationships/image" Target="media/image1.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smart.met@oieau.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t-me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rt-met.eu/" TargetMode="External"/><Relationship Id="rId4" Type="http://schemas.openxmlformats.org/officeDocument/2006/relationships/settings" Target="settings.xml"/><Relationship Id="rId9" Type="http://schemas.openxmlformats.org/officeDocument/2006/relationships/hyperlink" Target="http://www.smart-met.eu/news/start-second-phase-project"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jpeg"/><Relationship Id="rId3" Type="http://schemas.openxmlformats.org/officeDocument/2006/relationships/image" Target="media/image5.jpe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856E-3EEF-41BC-BC48-F480A516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4478</Characters>
  <Application>Microsoft Office Word</Application>
  <DocSecurity>0</DocSecurity>
  <Lines>37</Lines>
  <Paragraphs>10</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ector>
  </HeadingPairs>
  <TitlesOfParts>
    <vt:vector size="4" baseType="lpstr">
      <vt:lpstr/>
      <vt:lpstr/>
      <vt:lpstr/>
      <vt:lpstr/>
    </vt:vector>
  </TitlesOfParts>
  <Company>VIVAQUA</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GAA</dc:creator>
  <cp:lastModifiedBy>Didier DELAGE</cp:lastModifiedBy>
  <cp:revision>2</cp:revision>
  <dcterms:created xsi:type="dcterms:W3CDTF">2020-08-06T08:51:00Z</dcterms:created>
  <dcterms:modified xsi:type="dcterms:W3CDTF">2020-08-06T08:51:00Z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-467230266</vt:i4>
  </property>
  <property fmtid="{D5CDD505-2E9C-101B-9397-08002B2CF9AE}" pid="4" name="_EmailSubject">
    <vt:lpwstr>R: URGENT: Communication and next steps</vt:lpwstr>
  </property>
  <property fmtid="{D5CDD505-2E9C-101B-9397-08002B2CF9AE}" pid="5" name="_AuthorEmail">
    <vt:lpwstr>ALICIA.GABAN@aquapublica.eu</vt:lpwstr>
  </property>
  <property fmtid="{D5CDD505-2E9C-101B-9397-08002B2CF9AE}" pid="6" name="_AuthorEmailDisplayName">
    <vt:lpwstr>GABAN Alicia</vt:lpwstr>
  </property>
  <property fmtid="{D5CDD505-2E9C-101B-9397-08002B2CF9AE}" pid="7" name="_ReviewingToolsShownOnce">
    <vt:lpwstr/>
  </property>
</Properties>
</file>